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4"/>
          <w:sz w:val="24"/>
          <w:szCs w:val="24"/>
          <w:lang w:val="uk-UA" w:eastAsia="ru-RU"/>
        </w:rPr>
        <w:t>УДК.619,616-574,4(075,8)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bCs/>
          <w:spacing w:val="-4"/>
          <w:lang w:val="uk-UA" w:eastAsia="ru-RU"/>
        </w:rPr>
        <w:t>ЕЙМЕРІОЗИ КУРЕЙ НА ОДЕЩИНІ</w:t>
      </w:r>
    </w:p>
    <w:p w:rsidR="009E1EDE" w:rsidRPr="009E1EDE" w:rsidRDefault="009E1EDE" w:rsidP="009E1EDE">
      <w:pPr>
        <w:widowControl w:val="0"/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bCs/>
          <w:spacing w:val="-4"/>
          <w:sz w:val="24"/>
          <w:szCs w:val="24"/>
          <w:lang w:val="uk-UA" w:eastAsia="ru-RU"/>
        </w:rPr>
        <w:t xml:space="preserve">В.Г. Склярук, </w:t>
      </w:r>
      <w:r w:rsidRPr="009E1EDE">
        <w:rPr>
          <w:rFonts w:ascii="UkrainianSchoolBook" w:eastAsia="Times New Roman" w:hAnsi="UkrainianSchoolBook" w:cs="Times New Roman"/>
          <w:spacing w:val="-4"/>
          <w:sz w:val="24"/>
          <w:szCs w:val="24"/>
          <w:lang w:val="uk-UA" w:eastAsia="ru-RU"/>
        </w:rPr>
        <w:t xml:space="preserve">асистент </w:t>
      </w:r>
      <w:r w:rsidRPr="009E1EDE">
        <w:rPr>
          <w:rFonts w:ascii="UkrainianSchoolBook" w:eastAsia="Times New Roman" w:hAnsi="UkrainianSchoolBook" w:cs="Times New Roman"/>
          <w:spacing w:val="-4"/>
          <w:sz w:val="24"/>
          <w:szCs w:val="24"/>
          <w:lang w:val="uk-UA" w:eastAsia="ru-RU"/>
        </w:rPr>
        <w:br/>
      </w:r>
      <w:r w:rsidRPr="009E1EDE">
        <w:rPr>
          <w:rFonts w:ascii="UkrainianSchoolBook" w:eastAsia="Times New Roman" w:hAnsi="UkrainianSchoolBook" w:cs="Times New Roman"/>
          <w:i/>
          <w:spacing w:val="-6"/>
          <w:sz w:val="18"/>
          <w:szCs w:val="18"/>
          <w:lang w:val="uk-UA" w:eastAsia="ru-RU"/>
        </w:rPr>
        <w:t>Одеський державний аграрний ушверситет</w:t>
      </w:r>
    </w:p>
    <w:p w:rsidR="009E1EDE" w:rsidRPr="009E1EDE" w:rsidRDefault="009E1EDE" w:rsidP="009E1EDE">
      <w:pPr>
        <w:widowControl w:val="0"/>
        <w:shd w:val="clear" w:color="auto" w:fill="FFFFFF"/>
        <w:spacing w:before="120" w:after="120" w:line="200" w:lineRule="exact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Cs/>
          <w:i/>
          <w:spacing w:val="-6"/>
          <w:sz w:val="18"/>
          <w:szCs w:val="18"/>
          <w:lang w:val="uk-UA" w:eastAsia="ru-RU"/>
        </w:rPr>
        <w:t>В господарствах різних форм власності Одеської області еймеріозна інвазія курей є досить поширеною. Показники екстенсивності та інтенсивності залежать від системи утримання та віку птиці. Найвищий показник EL 32-52% реєстрували у 2–2,5 місячних курчат яєчного напрямку за комбінованої системи утримання з середньою ІІ – 158–305 ооцист. З’ясовано, що у курчат-бройлерів та м’ясо-яєчних порід і ліній домінує Е. necatrix, E. Мaxima і E. Praecox, які уражають переважно тонкий кишечник птиці.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Еймеріози курей – досить поширені протозойні захворювання, які завдають значних збитків птахівництву внаслідок недоотримання приростів та значної загибелі молодняку. В промисловому птахівництві світу щороку втрати від еймеріозів складають більше 500 млн. доларів [1]. Відомо, що при еймеріозі знижується резистентність організму, захворювання супроводжується депресією імунної системи [2, 3]. Внутрішньоклітинний паразитизм еймерій характеризується різноманітним впливом їx на фізіолого-6ioxiмiчнi i імунолопчні реакції організму хазяїна.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У курей паразитує більше 9 видів еймерій з яких найбільш патогенними є: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Eimeria tenella, E. acervulina, E. maxima, E. necatrix.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При вирощуваннні курчат-бройлерів найбільших збитків завдають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Е. tenella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i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Е. necatrix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[4]. Екстенсивність (EI) i інтенсивність інвазії (II) знаходиться в залежності від типу господарства, системи утримання, сезону року та віку птиці i в залежності від системи утримання EI може бути від 10 до 100% [5].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За еймеріозної інвазії курчат в залежності від виду паразита, місця локалізації в кишечнику визначається складність патологічних процесів. Клінічні ознаки захворювання i зміни в органах загиблої птиці залежать від біологічних особливостей розвитку еймерій i токсичної дії продуктів обміну [6].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Хіміотерапія та хіміопрофілактика, які на сьогодні застосовуються для боротьби з еймеріозами не забезпечують благополуччя з даної інвазії. Це пов'язано з швидким формуванням у збудників резистентності до препаратів i не лише до тих, що застосовуються, але i до всього класу до якого належить лікарський зaciб [7].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bCs/>
          <w:spacing w:val="-6"/>
          <w:sz w:val="24"/>
          <w:szCs w:val="24"/>
          <w:lang w:val="uk-UA" w:eastAsia="ru-RU"/>
        </w:rPr>
        <w:t xml:space="preserve">Метою нашої роботи </w:t>
      </w:r>
      <w:r w:rsidRPr="009E1EDE">
        <w:rPr>
          <w:rFonts w:ascii="UkrainianSchoolBook" w:eastAsia="Times New Roman" w:hAnsi="UkrainianSchoolBook" w:cs="Times New Roman"/>
          <w:bCs/>
          <w:spacing w:val="-6"/>
          <w:sz w:val="24"/>
          <w:szCs w:val="24"/>
          <w:lang w:val="uk-UA" w:eastAsia="ru-RU"/>
        </w:rPr>
        <w:t>було вивчення епізоотології еймеріозів курей в умовах господарств різних форм власності при різних системах утримання і визначення видового складу збудників в залежності від напрямків ведення птахівництва.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bCs/>
          <w:spacing w:val="-6"/>
          <w:sz w:val="24"/>
          <w:szCs w:val="24"/>
          <w:lang w:val="uk-UA" w:eastAsia="ru-RU"/>
        </w:rPr>
        <w:t xml:space="preserve">Матеріали i методи.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Роботу виконували на базі птахогосподарств різних форм власності Одеської облаеті а також у приватних власників, які розводять i утримують курей упродовж 2006-2007 років. Для визначення епізоотології еймеріозів курей встановлювали екстенсивність та інтенсивнють інвазії, види збудників, сезонну i вікову динамики захворювання в залежності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від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технології вирощування та утримання птиці. Діагностику еймерюзів проводили методом Фюллеборна i Дарлінга згідно ГОСТ 25383-82 (СТ СЕВ 2547-80), а також шляхом дослідження нативного мазка, виготовленого з посліду птиці або відбитків зскребів із слизової оболонки кишечника. Кількість ооцист підраховували під малим збільшенням мікроскопу (ок. 7, об. 10) в 20 полях зору з наступним обчисленням середнього показника.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Належність видів еймерій встановлювали за визначальними таблицями L.P. Pellerdy (1965), Е.М. Хейсіна (1967) i результатами власного дослідження форми, кольору, довжини та ширини ооцист, індексу форми, наявності чи відсутності мікропіле, полярної гранули, залишкового тіла в ооцисті i спороцисті, а також довжини пepeбігу препатентного i патентного періодів.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spacing w:val="-6"/>
          <w:sz w:val="24"/>
          <w:szCs w:val="24"/>
          <w:lang w:val="uk-UA" w:eastAsia="ru-RU"/>
        </w:rPr>
        <w:t>Результати досліджень.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 Дослідженнями встановлено, що еймеріоз найчастіше реєструється на птахофермах з підлоговою системою утримання курчат з різною інтенсивністю інвазії. При вирощуванні курчат породи «Адлерські сріблясті», «Кучинські» та «Род-айленд» з ТОВ «Новосавицьке» Великомихайлівського району, АФ «Авангард» Б. - Дністровського району та ПСП «Маяк» Ширяєвського району вже з 9-11 добового віку реєстрували виділення ооцист еймерій. Це свідчить, що заражения курчат відбувається в перші дні життя. Екстенсивність інвазії у курчат 20 добового віку при такій системі утримання була в межах 9-12,5% з середньою інтенсивністю 62-130 ооцист в 20 полях зору мікроскопа. При досягненні курчатами місячного віку екстенсивність інвазії склала 32-52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%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з середньою II - 158-305 ооцист i майже на такому piвні показники екстенсивності та інтенсивності iнвазiї утримувались до 2-х місячного віку. Істотне зниження показників ЕЕ (21-26%) та II (65-80 ооцист) реєстрували у курчат 3-х місячного віку i відповідно у курей старшого віку ці показники суттєво зменшувались.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lastRenderedPageBreak/>
        <w:t>За комбінованої системи утримання курей яєчного напрямку порід «Хайсекс-білий» та «Хайсекс-коричневий» в Сербській птахофабриці Комінтернівського району та кросу «Білорусь-9» в ТОВ «Відрадівська п/ф» Роздільнянського району виділення ооцист реєстрували починаючи з 2-х тижневого віку, де показник EI складав 5-12% з II 34-52 ооцисти у 20 полях зору мікроскопа. Більш високий показник EI 30-44% та II 78-112 ооцист реєстрували у курчат 1,5-2 місячного віку. Починаючи з 3-х місячного віку як екстенсивність, так i інтенсивність істотно знижувались i в курчат 120 добового віку еймеріозна інвазія була у вигляді носійства з охопленням 3-4% поголів'я, що підтверджувалось лабораторними дослідженнями – 12-17 ооцист в 20 полях зору міроскопа.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При вирощуванні курчат бройлерів у приватних власників екстенсивність еймеріозноі інвазії була різноманітною i залежала від багатьох факторів: умов утримання птиці, санітарно-гігієнічного стану приміщення, теплового режиму, вентиляції, щільності посадки птиці та терміну розриву між попереднім утриманням птиці.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У курчат-бройлерів виділення ооцист реєстрували з 15-17 доби з EI 7-9% та II 40-64 ооцисти. Різке підвищення EI 34-42% з II 132-168 ооцист реєстрували у курчат 1,5-2 місячного віку, хоча в окремих власників, які утримували курчат еймеріозну інвазію не реєстрували, що вказує на відсутність джерела інвазування.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Слід зазначити, що у курчат-бройлерів найчастіше реєстрували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Е. tenella, яка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уражає виключно сліпі відростки товстого кишечника. У курчат яєчного напрямку домінуючими інвазіями були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Е. necatrix, E. maxima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i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E. praecox,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які локалізуються в тонкому та товстому кишечнику. В курей м'ясо-яєчних ліній реєстрували </w:t>
      </w:r>
      <w:r w:rsidRPr="009E1EDE">
        <w:rPr>
          <w:rFonts w:ascii="UkrainianSchoolBook" w:eastAsia="Times New Roman" w:hAnsi="UkrainianSchoolBook" w:cs="Times New Roman"/>
          <w:bCs/>
          <w:spacing w:val="-6"/>
          <w:sz w:val="24"/>
          <w:szCs w:val="24"/>
          <w:lang w:val="uk-UA" w:eastAsia="ru-RU"/>
        </w:rPr>
        <w:t>еймерії</w:t>
      </w:r>
      <w:r w:rsidRPr="009E1EDE">
        <w:rPr>
          <w:rFonts w:ascii="UkrainianSchoolBook" w:eastAsia="Times New Roman" w:hAnsi="UkrainianSchoolBook" w:cs="Times New Roman"/>
          <w:b/>
          <w:bCs/>
          <w:spacing w:val="-6"/>
          <w:sz w:val="24"/>
          <w:szCs w:val="24"/>
          <w:lang w:val="uk-UA" w:eastAsia="ru-RU"/>
        </w:rPr>
        <w:t xml:space="preserve">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видів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Е. tenella, E. necatrix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та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>Е. brunetti.</w:t>
      </w:r>
    </w:p>
    <w:p w:rsidR="009E1EDE" w:rsidRPr="009E1EDE" w:rsidRDefault="009E1EDE" w:rsidP="009E1EDE">
      <w:pPr>
        <w:widowControl w:val="0"/>
        <w:shd w:val="clear" w:color="auto" w:fill="FFFFFF"/>
        <w:spacing w:before="60" w:after="100" w:afterAutospacing="1" w:line="21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bCs/>
          <w:spacing w:val="-6"/>
          <w:sz w:val="24"/>
          <w:szCs w:val="24"/>
          <w:lang w:val="uk-UA" w:eastAsia="ru-RU"/>
        </w:rPr>
        <w:t>Висновки</w:t>
      </w:r>
    </w:p>
    <w:p w:rsidR="009E1EDE" w:rsidRPr="009E1EDE" w:rsidRDefault="009E1EDE" w:rsidP="009E1EDE">
      <w:pPr>
        <w:widowControl w:val="0"/>
        <w:shd w:val="clear" w:color="auto" w:fill="FFFFFF"/>
        <w:tabs>
          <w:tab w:val="left" w:pos="1001"/>
        </w:tabs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Cs/>
          <w:spacing w:val="-6"/>
          <w:sz w:val="24"/>
          <w:szCs w:val="24"/>
          <w:lang w:val="uk-UA" w:eastAsia="ru-RU"/>
        </w:rPr>
        <w:t>1. В</w:t>
      </w:r>
      <w:r w:rsidRPr="009E1EDE">
        <w:rPr>
          <w:rFonts w:ascii="UkrainianSchoolBook" w:eastAsia="Times New Roman" w:hAnsi="UkrainianSchoolBook" w:cs="Times New Roman"/>
          <w:b/>
          <w:bCs/>
          <w:spacing w:val="-6"/>
          <w:sz w:val="24"/>
          <w:szCs w:val="24"/>
          <w:lang w:val="uk-UA" w:eastAsia="ru-RU"/>
        </w:rPr>
        <w:t xml:space="preserve">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господарствах різних форм власності Одеської області еймеріозна інвазія курей є досить поширеною. Показники екстенсивності та інтенсивності залежать від системи утримання та віку птиці. Найвищий показник EI 32-52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%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реєстрували у 2-2,5 місячних курчат яєчного напрямку за комбшованої системи утримання з середньою II - 158-305 ооцист.</w:t>
      </w:r>
    </w:p>
    <w:p w:rsidR="009E1EDE" w:rsidRPr="009E1EDE" w:rsidRDefault="009E1EDE" w:rsidP="009E1EDE">
      <w:pPr>
        <w:widowControl w:val="0"/>
        <w:shd w:val="clear" w:color="auto" w:fill="FFFFFF"/>
        <w:tabs>
          <w:tab w:val="left" w:pos="1080"/>
        </w:tabs>
        <w:spacing w:before="100" w:beforeAutospacing="1" w:after="100" w:afterAutospacing="1" w:line="21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2. З'ясовано, що у курчат-бройлерів та м'ясо-яєчних порід i ліній домшує Е. tenella, яка уражає сліпі відростки товстого кишечника. У курей яєчних порід i ліній домінують еймерія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Е. necatrix, E. maxima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 xml:space="preserve">i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24"/>
          <w:szCs w:val="24"/>
          <w:lang w:val="uk-UA" w:eastAsia="ru-RU"/>
        </w:rPr>
        <w:t xml:space="preserve">E. praecox, </w:t>
      </w:r>
      <w:r w:rsidRPr="009E1EDE">
        <w:rPr>
          <w:rFonts w:ascii="UkrainianSchoolBook" w:eastAsia="Times New Roman" w:hAnsi="UkrainianSchoolBook" w:cs="Times New Roman"/>
          <w:spacing w:val="-6"/>
          <w:sz w:val="24"/>
          <w:szCs w:val="24"/>
          <w:lang w:val="uk-UA" w:eastAsia="ru-RU"/>
        </w:rPr>
        <w:t>які уражають переважно тонкий кишечник птиці.</w:t>
      </w:r>
    </w:p>
    <w:p w:rsidR="009E1EDE" w:rsidRPr="009E1EDE" w:rsidRDefault="009E1EDE" w:rsidP="009E1EDE">
      <w:pPr>
        <w:widowControl w:val="0"/>
        <w:shd w:val="clear" w:color="auto" w:fill="FFFFFF"/>
        <w:spacing w:before="60" w:after="100" w:afterAutospacing="1" w:line="21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bCs/>
          <w:spacing w:val="-6"/>
          <w:sz w:val="24"/>
          <w:szCs w:val="24"/>
          <w:lang w:val="uk-UA" w:eastAsia="ru-RU"/>
        </w:rPr>
        <w:t>Література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19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>1. Allen P.С, Fetterer R.H. Recent advances in biology and immunobiology of Eimeria species and in diagnosis and control of infection with these coccidian parasites of poultry // Clin Microbiol Rev 15, 2002. -P. 58-65.</w:t>
      </w:r>
    </w:p>
    <w:p w:rsidR="009E1EDE" w:rsidRPr="009E1EDE" w:rsidRDefault="009E1EDE" w:rsidP="009E1EDE">
      <w:pPr>
        <w:widowControl w:val="0"/>
        <w:shd w:val="clear" w:color="auto" w:fill="FFFFFF"/>
        <w:tabs>
          <w:tab w:val="left" w:pos="1181"/>
        </w:tabs>
        <w:spacing w:before="100" w:beforeAutospacing="1" w:after="100" w:afterAutospacing="1" w:line="19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 xml:space="preserve">2. Иллюшечкин Ю.П. Иммунопрофилактика кокцидиоза кур // Кокцидиозы сельскохозяйственной птицы. </w:t>
      </w:r>
      <w:r w:rsidRPr="009E1EDE">
        <w:rPr>
          <w:rFonts w:ascii="UkrainianSchoolBook" w:eastAsia="Times New Roman" w:hAnsi="UkrainianSchoolBook" w:cs="Times New Roman"/>
          <w:spacing w:val="-6"/>
          <w:sz w:val="18"/>
          <w:szCs w:val="18"/>
          <w:lang w:val="uk-UA" w:eastAsia="ru-RU"/>
        </w:rPr>
        <w:t xml:space="preserve">—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>СПб., 1990. — С. 120-126.</w:t>
      </w:r>
    </w:p>
    <w:p w:rsidR="009E1EDE" w:rsidRPr="009E1EDE" w:rsidRDefault="009E1EDE" w:rsidP="009E1EDE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100" w:beforeAutospacing="1" w:after="100" w:afterAutospacing="1" w:line="19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>3. Соколов А.П., Соколов А.Н. Иммуносерологические исследования при кокцидиозах // Основы профилактики болезней с/х птиц. — СПб., 1995.</w:t>
      </w:r>
    </w:p>
    <w:p w:rsidR="009E1EDE" w:rsidRPr="009E1EDE" w:rsidRDefault="009E1EDE" w:rsidP="009E1EDE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100" w:beforeAutospacing="1" w:after="100" w:afterAutospacing="1" w:line="19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>4. Сандул А.В. Борьба с эймериозами цыплят-бройлеров в современных условиях // Учен. зап. У О «Витебская ордена «Знак почета» госуд. акад. вет. медицины». — 2004. — Т. 40, 41. – С. 292-293.</w:t>
      </w:r>
    </w:p>
    <w:p w:rsidR="009E1EDE" w:rsidRPr="009E1EDE" w:rsidRDefault="009E1EDE" w:rsidP="009E1EDE">
      <w:pPr>
        <w:widowControl w:val="0"/>
        <w:shd w:val="clear" w:color="auto" w:fill="FFFFFF"/>
        <w:tabs>
          <w:tab w:val="left" w:pos="1188"/>
        </w:tabs>
        <w:spacing w:before="100" w:beforeAutospacing="1" w:after="100" w:afterAutospacing="1" w:line="19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 xml:space="preserve">5. Люлін П.В. Розповсюдження, видовий склад збудників та удосконалення заходів боротьби з еймеріозом індиків в спеціалізованих господарствах i фермах України: Автореф. </w:t>
      </w:r>
      <w:r w:rsidRPr="009E1EDE">
        <w:rPr>
          <w:rFonts w:ascii="UkrainianSchoolBook" w:eastAsia="Times New Roman" w:hAnsi="UkrainianSchoolBook" w:cs="Times New Roman"/>
          <w:spacing w:val="-6"/>
          <w:sz w:val="18"/>
          <w:szCs w:val="18"/>
          <w:lang w:val="uk-UA" w:eastAsia="ru-RU"/>
        </w:rPr>
        <w:t xml:space="preserve">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 xml:space="preserve">дис. </w:t>
      </w:r>
      <w:r w:rsidRPr="009E1EDE">
        <w:rPr>
          <w:rFonts w:ascii="UkrainianSchoolBook" w:eastAsia="Times New Roman" w:hAnsi="UkrainianSchoolBook" w:cs="Times New Roman"/>
          <w:spacing w:val="-6"/>
          <w:sz w:val="18"/>
          <w:szCs w:val="18"/>
          <w:lang w:val="uk-UA" w:eastAsia="ru-RU"/>
        </w:rPr>
        <w:t xml:space="preserve">...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>канд. вет. наук. – Харків, 1994. – 24 с.</w:t>
      </w:r>
    </w:p>
    <w:p w:rsidR="009E1EDE" w:rsidRPr="009E1EDE" w:rsidRDefault="009E1EDE" w:rsidP="009E1EDE">
      <w:pPr>
        <w:widowControl w:val="0"/>
        <w:shd w:val="clear" w:color="auto" w:fill="FFFFFF"/>
        <w:tabs>
          <w:tab w:val="left" w:pos="1087"/>
        </w:tabs>
        <w:spacing w:before="100" w:beforeAutospacing="1" w:after="100" w:afterAutospacing="1" w:line="19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>6. Ятусевич А.И., Бирман Б.Я., Сандул А.В. Проблема эймериоза цыплят и пути ее решения // Межд. науч.-теор. журн. «Эпизоотология, иммунология, фармакология и санитария». – Витебск, 2005. – №1. – С. 11-14.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19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 xml:space="preserve">7. Сентюрін В.В., Маршалкіна Т.В. Вивчення впливу еймерійних антигенів на організм курчат // Beт. медицина: Міжвід. темат. наук. зб. – Харків, 2002. </w:t>
      </w:r>
      <w:r w:rsidRPr="009E1EDE">
        <w:rPr>
          <w:rFonts w:ascii="UkrainianSchoolBook" w:eastAsia="Times New Roman" w:hAnsi="UkrainianSchoolBook" w:cs="Times New Roman"/>
          <w:spacing w:val="-6"/>
          <w:sz w:val="18"/>
          <w:szCs w:val="18"/>
          <w:lang w:val="uk-UA" w:eastAsia="ru-RU"/>
        </w:rPr>
        <w:t xml:space="preserve">–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 xml:space="preserve">№80. </w:t>
      </w:r>
      <w:r w:rsidRPr="009E1EDE">
        <w:rPr>
          <w:rFonts w:ascii="UkrainianSchoolBook" w:eastAsia="Times New Roman" w:hAnsi="UkrainianSchoolBook" w:cs="Times New Roman"/>
          <w:spacing w:val="-6"/>
          <w:sz w:val="18"/>
          <w:szCs w:val="18"/>
          <w:lang w:val="uk-UA" w:eastAsia="ru-RU"/>
        </w:rPr>
        <w:t xml:space="preserve">–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>С. 533-53 7.</w:t>
      </w:r>
    </w:p>
    <w:p w:rsidR="009E1EDE" w:rsidRPr="009E1EDE" w:rsidRDefault="009E1EDE" w:rsidP="009E1EDE">
      <w:pPr>
        <w:widowControl w:val="0"/>
        <w:shd w:val="clear" w:color="auto" w:fill="FFFFFF"/>
        <w:spacing w:before="120" w:after="100" w:afterAutospacing="1" w:line="19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bCs/>
          <w:spacing w:val="-6"/>
          <w:sz w:val="18"/>
          <w:szCs w:val="18"/>
          <w:lang w:val="uk-UA" w:eastAsia="ru-RU"/>
        </w:rPr>
        <w:t>Эймериозы кур в Одесской области.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19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bCs/>
          <w:spacing w:val="-6"/>
          <w:sz w:val="18"/>
          <w:szCs w:val="18"/>
          <w:lang w:val="uk-UA" w:eastAsia="ru-RU"/>
        </w:rPr>
        <w:t>В.Г. Склярук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19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 xml:space="preserve">В статье приведены показатели экстенсивности и интенсивности эймериозной инвазии кур в хозяйствах Одесской области, где наибольший показатель ЭИ (32-52)% у цыплят яичных пород при средней ИИ 158-305 ооцист. У цыплят-бройлеров и мясо-яичных пород доминирует Е. tenella, а у кур яичных пород и линий доминирует Е. necatrix, E. мaxima </w:t>
      </w:r>
      <w:r w:rsidRPr="009E1EDE">
        <w:rPr>
          <w:rFonts w:ascii="UkrainianSchoolBook" w:eastAsia="Times New Roman" w:hAnsi="UkrainianSchoolBook" w:cs="Times New Roman"/>
          <w:spacing w:val="-6"/>
          <w:sz w:val="18"/>
          <w:szCs w:val="18"/>
          <w:lang w:val="uk-UA" w:eastAsia="ru-RU"/>
        </w:rPr>
        <w:t xml:space="preserve">и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>Е. рrаесох.</w:t>
      </w:r>
    </w:p>
    <w:p w:rsidR="009E1EDE" w:rsidRPr="009E1EDE" w:rsidRDefault="009E1EDE" w:rsidP="009E1EDE">
      <w:pPr>
        <w:widowControl w:val="0"/>
        <w:shd w:val="clear" w:color="auto" w:fill="FFFFFF"/>
        <w:spacing w:before="120" w:after="100" w:afterAutospacing="1" w:line="19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bCs/>
          <w:spacing w:val="-6"/>
          <w:sz w:val="18"/>
          <w:szCs w:val="18"/>
          <w:lang w:val="uk-UA" w:eastAsia="ru-RU"/>
        </w:rPr>
        <w:t>Eimeriosis breeds in Оdessa area.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19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b/>
          <w:bCs/>
          <w:caps/>
          <w:spacing w:val="-6"/>
          <w:sz w:val="18"/>
          <w:szCs w:val="18"/>
          <w:lang w:val="uk-UA" w:eastAsia="ru-RU"/>
        </w:rPr>
        <w:lastRenderedPageBreak/>
        <w:t>v.g. s</w:t>
      </w:r>
      <w:r w:rsidRPr="009E1EDE">
        <w:rPr>
          <w:rFonts w:ascii="UkrainianSchoolBook" w:eastAsia="Times New Roman" w:hAnsi="UkrainianSchoolBook" w:cs="Times New Roman"/>
          <w:b/>
          <w:bCs/>
          <w:spacing w:val="-6"/>
          <w:sz w:val="18"/>
          <w:szCs w:val="18"/>
          <w:lang w:val="uk-UA" w:eastAsia="ru-RU"/>
        </w:rPr>
        <w:t>klyaruk</w:t>
      </w:r>
    </w:p>
    <w:p w:rsidR="009E1EDE" w:rsidRPr="009E1EDE" w:rsidRDefault="009E1EDE" w:rsidP="009E1EDE">
      <w:pPr>
        <w:widowControl w:val="0"/>
        <w:shd w:val="clear" w:color="auto" w:fill="FFFFFF"/>
        <w:spacing w:before="100" w:beforeAutospacing="1" w:after="100" w:afterAutospacing="1" w:line="19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 xml:space="preserve">In the article the indexes of extensiveness and intensity of eimeriosis invasion are shown breeds in the economies of the Odessa area where most index of EI (32-52)% for the chickens of egg breeds at middle II 158-305 oocyst. For chickens-broilers and egg breeds prevails E. tenella, and for the chickens of egg breeds and lines prevails E. necatrix, E. maxima </w:t>
      </w:r>
      <w:r w:rsidRPr="009E1EDE">
        <w:rPr>
          <w:rFonts w:ascii="UkrainianSchoolBook" w:eastAsia="Times New Roman" w:hAnsi="UkrainianSchoolBook" w:cs="Times New Roman"/>
          <w:spacing w:val="-6"/>
          <w:sz w:val="18"/>
          <w:szCs w:val="18"/>
          <w:lang w:val="uk-UA" w:eastAsia="ru-RU"/>
        </w:rPr>
        <w:t xml:space="preserve">and </w:t>
      </w:r>
      <w:r w:rsidRPr="009E1EDE">
        <w:rPr>
          <w:rFonts w:ascii="UkrainianSchoolBook" w:eastAsia="Times New Roman" w:hAnsi="UkrainianSchoolBook" w:cs="Times New Roman"/>
          <w:iCs/>
          <w:spacing w:val="-6"/>
          <w:sz w:val="18"/>
          <w:szCs w:val="18"/>
          <w:lang w:val="uk-UA" w:eastAsia="ru-RU"/>
        </w:rPr>
        <w:t>E. praecox.</w:t>
      </w:r>
    </w:p>
    <w:p w:rsidR="009E1EDE" w:rsidRPr="009E1EDE" w:rsidRDefault="009E1EDE" w:rsidP="009E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40DBE" w:rsidRDefault="00A40DBE"/>
    <w:sectPr w:rsidR="00A40DBE" w:rsidSect="00A40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EDE"/>
    <w:rsid w:val="009E1EDE"/>
    <w:rsid w:val="00A4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2016-05-25T10:51:00Z</dcterms:created>
  <dcterms:modified xsi:type="dcterms:W3CDTF">2016-05-25T10:51:00Z</dcterms:modified>
</cp:coreProperties>
</file>